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B18FC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General Mandate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B18FC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B18FC" w:rsidRPr="00CB18FC">
        <w:rPr>
          <w:rFonts w:ascii="Arial" w:hAnsi="Arial" w:cs="Arial"/>
          <w:sz w:val="20"/>
          <w:szCs w:val="20"/>
        </w:rPr>
        <w:t>Viglacera</w:t>
      </w:r>
      <w:proofErr w:type="spellEnd"/>
      <w:r w:rsidR="00CB18FC" w:rsidRPr="00CB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FC" w:rsidRPr="00CB18FC">
        <w:rPr>
          <w:rFonts w:ascii="Arial" w:hAnsi="Arial" w:cs="Arial"/>
          <w:sz w:val="20"/>
          <w:szCs w:val="20"/>
        </w:rPr>
        <w:t>Tuson</w:t>
      </w:r>
      <w:proofErr w:type="spellEnd"/>
      <w:r w:rsidR="00CB18FC" w:rsidRPr="00CB18FC">
        <w:rPr>
          <w:rFonts w:ascii="Arial" w:hAnsi="Arial" w:cs="Arial"/>
          <w:sz w:val="20"/>
          <w:szCs w:val="20"/>
        </w:rPr>
        <w:t xml:space="preserve"> </w:t>
      </w:r>
      <w:r w:rsidR="00CB18FC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B18FC">
        <w:rPr>
          <w:rFonts w:ascii="Arial" w:hAnsi="Arial" w:cs="Arial"/>
          <w:sz w:val="20"/>
          <w:szCs w:val="20"/>
        </w:rPr>
        <w:t>General Mandate 2020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Article 1: Agreeing to approve the following</w:t>
      </w:r>
      <w:r>
        <w:rPr>
          <w:rFonts w:ascii="Arial" w:hAnsi="Arial" w:cs="Arial"/>
          <w:sz w:val="20"/>
          <w:szCs w:val="20"/>
        </w:rPr>
        <w:t>s</w:t>
      </w:r>
      <w:r w:rsidRPr="00CB18FC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B18FC">
        <w:rPr>
          <w:rFonts w:ascii="Arial" w:hAnsi="Arial" w:cs="Arial"/>
          <w:sz w:val="20"/>
          <w:szCs w:val="20"/>
        </w:rPr>
        <w:t xml:space="preserve">Approving the Reports in 2019 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- Report of the Board of Directors on the results of</w:t>
      </w:r>
      <w:r>
        <w:rPr>
          <w:rFonts w:ascii="Arial" w:hAnsi="Arial" w:cs="Arial"/>
          <w:sz w:val="20"/>
          <w:szCs w:val="20"/>
        </w:rPr>
        <w:t xml:space="preserve"> implementing the tasks in 2019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- Report of the Board of Supervisors on the results of implementation of control and super</w:t>
      </w:r>
      <w:r>
        <w:rPr>
          <w:rFonts w:ascii="Arial" w:hAnsi="Arial" w:cs="Arial"/>
          <w:sz w:val="20"/>
          <w:szCs w:val="20"/>
        </w:rPr>
        <w:t>vision activities in 2019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 - The 2019 financial settlement report prepared by </w:t>
      </w:r>
      <w:r>
        <w:rPr>
          <w:rFonts w:ascii="Arial" w:hAnsi="Arial" w:cs="Arial"/>
          <w:sz w:val="20"/>
          <w:szCs w:val="20"/>
        </w:rPr>
        <w:t>the Company on January 17, 2020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- Independent audit report dated February 4, 2020 of AASC Auditing </w:t>
      </w:r>
      <w:r>
        <w:rPr>
          <w:rFonts w:ascii="Arial" w:hAnsi="Arial" w:cs="Arial"/>
          <w:sz w:val="20"/>
          <w:szCs w:val="20"/>
        </w:rPr>
        <w:t xml:space="preserve">Firm </w:t>
      </w:r>
      <w:r w:rsidRPr="00CB18FC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 Limited</w:t>
      </w:r>
      <w:r w:rsidRPr="00CB18FC">
        <w:rPr>
          <w:rFonts w:ascii="Arial" w:hAnsi="Arial" w:cs="Arial"/>
          <w:sz w:val="20"/>
          <w:szCs w:val="20"/>
        </w:rPr>
        <w:t xml:space="preserve"> - Ministry of Finance - Auditing Financial Statements </w:t>
      </w:r>
      <w:r>
        <w:rPr>
          <w:rFonts w:ascii="Arial" w:hAnsi="Arial" w:cs="Arial"/>
          <w:sz w:val="20"/>
          <w:szCs w:val="20"/>
        </w:rPr>
        <w:t xml:space="preserve">of </w:t>
      </w:r>
      <w:r w:rsidRPr="00CB18FC">
        <w:rPr>
          <w:rFonts w:ascii="Arial" w:hAnsi="Arial" w:cs="Arial"/>
          <w:sz w:val="20"/>
          <w:szCs w:val="20"/>
        </w:rPr>
        <w:t xml:space="preserve">2019 of </w:t>
      </w:r>
      <w:proofErr w:type="spellStart"/>
      <w:r w:rsidRPr="00CB18FC">
        <w:rPr>
          <w:rFonts w:ascii="Arial" w:hAnsi="Arial" w:cs="Arial"/>
          <w:sz w:val="20"/>
          <w:szCs w:val="20"/>
        </w:rPr>
        <w:t>Viglac</w:t>
      </w:r>
      <w:r>
        <w:rPr>
          <w:rFonts w:ascii="Arial" w:hAnsi="Arial" w:cs="Arial"/>
          <w:sz w:val="20"/>
          <w:szCs w:val="20"/>
        </w:rPr>
        <w:t>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Son Joint Stock Company</w:t>
      </w:r>
    </w:p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Approving the results of implementing the </w:t>
      </w:r>
      <w:r>
        <w:rPr>
          <w:rFonts w:ascii="Arial" w:hAnsi="Arial" w:cs="Arial"/>
          <w:sz w:val="20"/>
          <w:szCs w:val="20"/>
        </w:rPr>
        <w:t>General Mandate</w:t>
      </w:r>
      <w:r w:rsidRPr="00CB18FC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as follows</w:t>
      </w:r>
      <w:r w:rsidRPr="00CB18FC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3"/>
        <w:gridCol w:w="1595"/>
        <w:gridCol w:w="1595"/>
        <w:gridCol w:w="1596"/>
        <w:gridCol w:w="1595"/>
      </w:tblGrid>
      <w:tr w:rsidR="00CB18FC" w:rsidTr="00C72C3A">
        <w:tc>
          <w:tcPr>
            <w:tcW w:w="472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3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595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5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5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Production output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</w:t>
            </w:r>
            <w:r w:rsidR="00CB18FC" w:rsidRPr="00CB18FC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21,772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Merchandise value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CB18FC" w:rsidRPr="00CB18F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21,064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595" w:type="dxa"/>
          </w:tcPr>
          <w:p w:rsidR="00C72C3A" w:rsidRDefault="00C72C3A">
            <w:r w:rsidRPr="00333ED5"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</w:t>
            </w:r>
            <w:r w:rsidRPr="00CB18F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31,835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1595" w:type="dxa"/>
          </w:tcPr>
          <w:p w:rsidR="00C72C3A" w:rsidRDefault="00C72C3A">
            <w:r w:rsidRPr="00333ED5"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CB18FC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7,896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42</w:t>
            </w:r>
            <w:r w:rsidR="00C72C3A">
              <w:rPr>
                <w:rFonts w:ascii="Arial" w:hAnsi="Arial" w:cs="Arial"/>
                <w:sz w:val="20"/>
                <w:szCs w:val="20"/>
              </w:rPr>
              <w:t>,</w:t>
            </w:r>
            <w:r w:rsidRPr="00CB18FC">
              <w:rPr>
                <w:rFonts w:ascii="Arial" w:hAnsi="Arial" w:cs="Arial"/>
                <w:sz w:val="20"/>
                <w:szCs w:val="20"/>
              </w:rPr>
              <w:t>94</w:t>
            </w:r>
            <w:r w:rsidR="00C72C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30,800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B18F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Inventory</w:t>
            </w:r>
            <w:r w:rsidR="00C72C3A">
              <w:rPr>
                <w:rFonts w:ascii="Arial" w:hAnsi="Arial" w:cs="Arial"/>
                <w:sz w:val="20"/>
                <w:szCs w:val="20"/>
              </w:rPr>
              <w:t xml:space="preserve"> value</w:t>
            </w:r>
            <w:r w:rsidRP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18FC">
              <w:rPr>
                <w:rFonts w:ascii="Arial" w:hAnsi="Arial" w:cs="Arial"/>
                <w:sz w:val="20"/>
                <w:szCs w:val="20"/>
              </w:rPr>
              <w:t>finished product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1,570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6,449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B18FC" w:rsidTr="00C72C3A">
        <w:tc>
          <w:tcPr>
            <w:tcW w:w="472" w:type="dxa"/>
          </w:tcPr>
          <w:p w:rsidR="00CB18FC" w:rsidRPr="00CB18FC" w:rsidRDefault="00CB18FC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Labor productivity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Million dongs/ person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596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95" w:type="dxa"/>
          </w:tcPr>
          <w:p w:rsidR="00CB18FC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595" w:type="dxa"/>
          </w:tcPr>
          <w:p w:rsidR="00C72C3A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month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8,349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7,079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Basic depreciation of fixed assets</w:t>
            </w:r>
          </w:p>
        </w:tc>
        <w:tc>
          <w:tcPr>
            <w:tcW w:w="1595" w:type="dxa"/>
          </w:tcPr>
          <w:p w:rsidR="00C72C3A" w:rsidRDefault="00C72C3A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2,560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2,448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Receivables from sale</w:t>
            </w:r>
          </w:p>
        </w:tc>
        <w:tc>
          <w:tcPr>
            <w:tcW w:w="1595" w:type="dxa"/>
          </w:tcPr>
          <w:p w:rsidR="00C72C3A" w:rsidRDefault="00C72C3A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4,509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95" w:type="dxa"/>
          </w:tcPr>
          <w:p w:rsidR="00C72C3A" w:rsidRDefault="00C72C3A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-4,150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B18FC">
              <w:rPr>
                <w:rFonts w:ascii="Arial" w:hAnsi="Arial" w:cs="Arial"/>
                <w:sz w:val="20"/>
                <w:szCs w:val="20"/>
              </w:rPr>
              <w:t>ayable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B18FC">
              <w:rPr>
                <w:rFonts w:ascii="Arial" w:hAnsi="Arial" w:cs="Arial"/>
                <w:sz w:val="20"/>
                <w:szCs w:val="20"/>
              </w:rPr>
              <w:t xml:space="preserve"> to the state budget</w:t>
            </w:r>
          </w:p>
        </w:tc>
        <w:tc>
          <w:tcPr>
            <w:tcW w:w="1595" w:type="dxa"/>
          </w:tcPr>
          <w:p w:rsidR="00C72C3A" w:rsidRDefault="00C72C3A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3,330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72C3A" w:rsidTr="00C72C3A">
        <w:tc>
          <w:tcPr>
            <w:tcW w:w="472" w:type="dxa"/>
          </w:tcPr>
          <w:p w:rsidR="00C72C3A" w:rsidRPr="00CB18FC" w:rsidRDefault="00C72C3A" w:rsidP="00CB18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Construction investment</w:t>
            </w:r>
          </w:p>
        </w:tc>
        <w:tc>
          <w:tcPr>
            <w:tcW w:w="1595" w:type="dxa"/>
          </w:tcPr>
          <w:p w:rsidR="00C72C3A" w:rsidRDefault="00C72C3A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C72C3A" w:rsidRDefault="00C72C3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B18FC" w:rsidRDefault="00CB18FC" w:rsidP="00F903A5">
      <w:pPr>
        <w:jc w:val="both"/>
        <w:rPr>
          <w:rFonts w:ascii="Arial" w:hAnsi="Arial" w:cs="Arial"/>
          <w:sz w:val="20"/>
          <w:szCs w:val="20"/>
        </w:rPr>
      </w:pPr>
    </w:p>
    <w:p w:rsidR="00C72C3A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2. Distribution of profits and funds in 2019 </w:t>
      </w:r>
    </w:p>
    <w:p w:rsidR="00C72C3A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Because the undist</w:t>
      </w:r>
      <w:r w:rsidR="00C72C3A">
        <w:rPr>
          <w:rFonts w:ascii="Arial" w:hAnsi="Arial" w:cs="Arial"/>
          <w:sz w:val="20"/>
          <w:szCs w:val="20"/>
        </w:rPr>
        <w:t>ributed profit of the Company in</w:t>
      </w:r>
      <w:r w:rsidRPr="00CB18FC">
        <w:rPr>
          <w:rFonts w:ascii="Arial" w:hAnsi="Arial" w:cs="Arial"/>
          <w:sz w:val="20"/>
          <w:szCs w:val="20"/>
        </w:rPr>
        <w:t xml:space="preserve"> the finan</w:t>
      </w:r>
      <w:r w:rsidR="00C72C3A">
        <w:rPr>
          <w:rFonts w:ascii="Arial" w:hAnsi="Arial" w:cs="Arial"/>
          <w:sz w:val="20"/>
          <w:szCs w:val="20"/>
        </w:rPr>
        <w:t>cial statements of 2019 was</w:t>
      </w:r>
      <w:r w:rsidRPr="00CB18FC">
        <w:rPr>
          <w:rFonts w:ascii="Arial" w:hAnsi="Arial" w:cs="Arial"/>
          <w:sz w:val="20"/>
          <w:szCs w:val="20"/>
        </w:rPr>
        <w:t xml:space="preserve"> VND</w:t>
      </w:r>
      <w:r w:rsidR="00C72C3A">
        <w:rPr>
          <w:rFonts w:ascii="Arial" w:hAnsi="Arial" w:cs="Arial"/>
          <w:sz w:val="20"/>
          <w:szCs w:val="20"/>
        </w:rPr>
        <w:t xml:space="preserve"> -4,1</w:t>
      </w:r>
      <w:r w:rsidRPr="00CB18FC">
        <w:rPr>
          <w:rFonts w:ascii="Arial" w:hAnsi="Arial" w:cs="Arial"/>
          <w:sz w:val="20"/>
          <w:szCs w:val="20"/>
        </w:rPr>
        <w:t>50 million, the General Meeting of Shareholders appro</w:t>
      </w:r>
      <w:r w:rsidR="00C72C3A">
        <w:rPr>
          <w:rFonts w:ascii="Arial" w:hAnsi="Arial" w:cs="Arial"/>
          <w:sz w:val="20"/>
          <w:szCs w:val="20"/>
        </w:rPr>
        <w:t>ved: No distribution of profits of 2019</w:t>
      </w:r>
    </w:p>
    <w:p w:rsidR="00C72C3A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3. Bonus</w:t>
      </w:r>
      <w:r w:rsidR="00C72C3A">
        <w:rPr>
          <w:rFonts w:ascii="Arial" w:hAnsi="Arial" w:cs="Arial"/>
          <w:sz w:val="20"/>
          <w:szCs w:val="20"/>
        </w:rPr>
        <w:t xml:space="preserve"> 2019</w:t>
      </w:r>
      <w:r w:rsidRPr="00CB18FC">
        <w:rPr>
          <w:rFonts w:ascii="Arial" w:hAnsi="Arial" w:cs="Arial"/>
          <w:sz w:val="20"/>
          <w:szCs w:val="20"/>
        </w:rPr>
        <w:t xml:space="preserve"> for Management Board </w:t>
      </w:r>
    </w:p>
    <w:p w:rsidR="00D702C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lastRenderedPageBreak/>
        <w:t xml:space="preserve">Due to difficulties in production and business in 2019, the Company </w:t>
      </w:r>
      <w:r w:rsidR="00C72C3A">
        <w:rPr>
          <w:rFonts w:ascii="Arial" w:hAnsi="Arial" w:cs="Arial"/>
          <w:sz w:val="20"/>
          <w:szCs w:val="20"/>
        </w:rPr>
        <w:t>did not have</w:t>
      </w:r>
      <w:r w:rsidRPr="00CB18FC">
        <w:rPr>
          <w:rFonts w:ascii="Arial" w:hAnsi="Arial" w:cs="Arial"/>
          <w:sz w:val="20"/>
          <w:szCs w:val="20"/>
        </w:rPr>
        <w:t xml:space="preserve"> profits, so the General </w:t>
      </w:r>
      <w:r w:rsidR="00D702CC">
        <w:rPr>
          <w:rFonts w:ascii="Arial" w:hAnsi="Arial" w:cs="Arial"/>
          <w:sz w:val="20"/>
          <w:szCs w:val="20"/>
        </w:rPr>
        <w:t xml:space="preserve">Meeting of Shareholders approved no fine, bonus to the Management Board </w:t>
      </w:r>
    </w:p>
    <w:p w:rsidR="00D702CC" w:rsidRDefault="00D702C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Salary </w:t>
      </w:r>
      <w:r w:rsidR="00CB18FC" w:rsidRPr="00CB18FC">
        <w:rPr>
          <w:rFonts w:ascii="Arial" w:hAnsi="Arial" w:cs="Arial"/>
          <w:sz w:val="20"/>
          <w:szCs w:val="20"/>
        </w:rPr>
        <w:t>2019 for the Company Director; remuneration of the Board of Directors, Supervisory Board and Information Disclosure</w:t>
      </w:r>
      <w:r>
        <w:rPr>
          <w:rFonts w:ascii="Arial" w:hAnsi="Arial" w:cs="Arial"/>
          <w:sz w:val="20"/>
          <w:szCs w:val="20"/>
        </w:rPr>
        <w:t xml:space="preserve"> officer</w:t>
      </w:r>
    </w:p>
    <w:p w:rsidR="00D702C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- Due to failing to meet the targets of 2019, the General </w:t>
      </w:r>
      <w:r w:rsidR="00D702CC">
        <w:rPr>
          <w:rFonts w:ascii="Arial" w:hAnsi="Arial" w:cs="Arial"/>
          <w:sz w:val="20"/>
          <w:szCs w:val="20"/>
        </w:rPr>
        <w:t>Meeting of Shareholders approved</w:t>
      </w:r>
      <w:r w:rsidRPr="00CB18FC">
        <w:rPr>
          <w:rFonts w:ascii="Arial" w:hAnsi="Arial" w:cs="Arial"/>
          <w:sz w:val="20"/>
          <w:szCs w:val="20"/>
        </w:rPr>
        <w:t xml:space="preserve">: </w:t>
      </w:r>
      <w:r w:rsidR="00D702CC">
        <w:rPr>
          <w:rFonts w:ascii="Arial" w:hAnsi="Arial" w:cs="Arial"/>
          <w:sz w:val="20"/>
          <w:szCs w:val="20"/>
        </w:rPr>
        <w:t>For t</w:t>
      </w:r>
      <w:r w:rsidRPr="00CB18FC">
        <w:rPr>
          <w:rFonts w:ascii="Arial" w:hAnsi="Arial" w:cs="Arial"/>
          <w:sz w:val="20"/>
          <w:szCs w:val="20"/>
        </w:rPr>
        <w:t>he salary for the CEO in 2019</w:t>
      </w:r>
      <w:r w:rsidR="00D702CC">
        <w:rPr>
          <w:rFonts w:ascii="Arial" w:hAnsi="Arial" w:cs="Arial"/>
          <w:sz w:val="20"/>
          <w:szCs w:val="20"/>
        </w:rPr>
        <w:t>, allow</w:t>
      </w:r>
      <w:r w:rsidRPr="00CB18FC">
        <w:rPr>
          <w:rFonts w:ascii="Arial" w:hAnsi="Arial" w:cs="Arial"/>
          <w:sz w:val="20"/>
          <w:szCs w:val="20"/>
        </w:rPr>
        <w:t xml:space="preserve"> an adva</w:t>
      </w:r>
      <w:r w:rsidR="00D702CC">
        <w:rPr>
          <w:rFonts w:ascii="Arial" w:hAnsi="Arial" w:cs="Arial"/>
          <w:sz w:val="20"/>
          <w:szCs w:val="20"/>
        </w:rPr>
        <w:t>nce of 80% of the CEO's salary</w:t>
      </w:r>
    </w:p>
    <w:p w:rsidR="00D702C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Remuneration for members of the Board of D</w:t>
      </w:r>
      <w:r w:rsidR="00D702CC">
        <w:rPr>
          <w:rFonts w:ascii="Arial" w:hAnsi="Arial" w:cs="Arial"/>
          <w:sz w:val="20"/>
          <w:szCs w:val="20"/>
        </w:rPr>
        <w:t>irectors, Board of Supervisors and Information Disclosure officer: VND 195 million</w:t>
      </w:r>
      <w:r w:rsidRPr="00CB18FC">
        <w:rPr>
          <w:rFonts w:ascii="Arial" w:hAnsi="Arial" w:cs="Arial"/>
          <w:sz w:val="20"/>
          <w:szCs w:val="20"/>
        </w:rPr>
        <w:t>/ year</w:t>
      </w:r>
    </w:p>
    <w:p w:rsidR="00D702CC" w:rsidRDefault="00D702C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B18FC" w:rsidRPr="00CB18FC">
        <w:rPr>
          <w:rFonts w:ascii="Arial" w:hAnsi="Arial" w:cs="Arial"/>
          <w:sz w:val="20"/>
          <w:szCs w:val="20"/>
        </w:rPr>
        <w:t xml:space="preserve">Use of </w:t>
      </w:r>
      <w:r>
        <w:rPr>
          <w:rFonts w:ascii="Arial" w:hAnsi="Arial" w:cs="Arial"/>
          <w:sz w:val="20"/>
          <w:szCs w:val="20"/>
        </w:rPr>
        <w:t xml:space="preserve">the </w:t>
      </w:r>
      <w:r w:rsidR="00CB18FC" w:rsidRPr="00CB18FC">
        <w:rPr>
          <w:rFonts w:ascii="Arial" w:hAnsi="Arial" w:cs="Arial"/>
          <w:sz w:val="20"/>
          <w:szCs w:val="20"/>
        </w:rPr>
        <w:t xml:space="preserve">salary fund: </w:t>
      </w:r>
    </w:p>
    <w:p w:rsidR="00D702C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Because the Company did not meet the targets of sales revenue in 2019, the payment of salaries to e</w:t>
      </w:r>
      <w:r w:rsidR="00D702CC">
        <w:rPr>
          <w:rFonts w:ascii="Arial" w:hAnsi="Arial" w:cs="Arial"/>
          <w:sz w:val="20"/>
          <w:szCs w:val="20"/>
        </w:rPr>
        <w:t xml:space="preserve">mployees exceeded the salary fund. As a result, </w:t>
      </w:r>
      <w:r w:rsidRPr="00CB18FC">
        <w:rPr>
          <w:rFonts w:ascii="Arial" w:hAnsi="Arial" w:cs="Arial"/>
          <w:sz w:val="20"/>
          <w:szCs w:val="20"/>
        </w:rPr>
        <w:t xml:space="preserve">the General Meeting of Shareholders approved: Supplementing the </w:t>
      </w:r>
      <w:r w:rsidR="00D702CC">
        <w:rPr>
          <w:rFonts w:ascii="Arial" w:hAnsi="Arial" w:cs="Arial"/>
          <w:sz w:val="20"/>
          <w:szCs w:val="20"/>
        </w:rPr>
        <w:t>2019 salary fund: VND 745.477 million</w:t>
      </w:r>
    </w:p>
    <w:p w:rsidR="00D702CC" w:rsidRDefault="00D702C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B18FC" w:rsidRPr="00CB18FC">
        <w:rPr>
          <w:rFonts w:ascii="Arial" w:hAnsi="Arial" w:cs="Arial"/>
          <w:sz w:val="20"/>
          <w:szCs w:val="20"/>
        </w:rPr>
        <w:t xml:space="preserve">Plan for 2020 </w:t>
      </w:r>
    </w:p>
    <w:p w:rsidR="00D702CC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Approve the main targets of the plan for 2020 as follows: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2"/>
        <w:gridCol w:w="2723"/>
        <w:gridCol w:w="1595"/>
        <w:gridCol w:w="1595"/>
        <w:gridCol w:w="1596"/>
        <w:gridCol w:w="1595"/>
      </w:tblGrid>
      <w:tr w:rsidR="009E5B59" w:rsidTr="009E5B59">
        <w:tc>
          <w:tcPr>
            <w:tcW w:w="472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9E5B59" w:rsidTr="009E5B59">
        <w:tc>
          <w:tcPr>
            <w:tcW w:w="472" w:type="dxa"/>
          </w:tcPr>
          <w:p w:rsidR="009E5B59" w:rsidRPr="009E5B59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Production output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21,772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23,005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Merchandise value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21,064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26,712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595" w:type="dxa"/>
          </w:tcPr>
          <w:p w:rsidR="009E5B59" w:rsidRDefault="009E5B59" w:rsidP="00F946B6">
            <w:r w:rsidRPr="00333ED5"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31,835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29,712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1595" w:type="dxa"/>
          </w:tcPr>
          <w:p w:rsidR="009E5B59" w:rsidRDefault="009E5B59" w:rsidP="00F946B6">
            <w:r w:rsidRPr="00333ED5">
              <w:rPr>
                <w:rFonts w:ascii="Arial" w:hAnsi="Arial" w:cs="Arial"/>
                <w:sz w:val="20"/>
                <w:szCs w:val="20"/>
              </w:rPr>
              <w:t>1,000 pcs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7,896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30,800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Inventory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  <w:r w:rsidRP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18FC">
              <w:rPr>
                <w:rFonts w:ascii="Arial" w:hAnsi="Arial" w:cs="Arial"/>
                <w:sz w:val="20"/>
                <w:szCs w:val="20"/>
              </w:rPr>
              <w:t>finished product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6,449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2,089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Labor productivity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Million dongs/ person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month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7,079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8,572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Basic depreciation of fixed assets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2,448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Receivables from sale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4,509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-4,150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B18FC">
              <w:rPr>
                <w:rFonts w:ascii="Arial" w:hAnsi="Arial" w:cs="Arial"/>
                <w:sz w:val="20"/>
                <w:szCs w:val="20"/>
              </w:rPr>
              <w:t>ayable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B18FC">
              <w:rPr>
                <w:rFonts w:ascii="Arial" w:hAnsi="Arial" w:cs="Arial"/>
                <w:sz w:val="20"/>
                <w:szCs w:val="20"/>
              </w:rPr>
              <w:t xml:space="preserve"> to the state budget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3,985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9E5B59" w:rsidTr="009E5B59">
        <w:tc>
          <w:tcPr>
            <w:tcW w:w="472" w:type="dxa"/>
          </w:tcPr>
          <w:p w:rsidR="009E5B59" w:rsidRPr="00CB18FC" w:rsidRDefault="009E5B59" w:rsidP="009E5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FC">
              <w:rPr>
                <w:rFonts w:ascii="Arial" w:hAnsi="Arial" w:cs="Arial"/>
                <w:sz w:val="20"/>
                <w:szCs w:val="20"/>
              </w:rPr>
              <w:t>Construction investment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9E5B59" w:rsidRDefault="009E5B59" w:rsidP="00F9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B59" w:rsidRDefault="009E5B59" w:rsidP="00F903A5">
      <w:pPr>
        <w:jc w:val="both"/>
        <w:rPr>
          <w:rFonts w:ascii="Arial" w:hAnsi="Arial" w:cs="Arial"/>
          <w:sz w:val="20"/>
          <w:szCs w:val="20"/>
        </w:rPr>
      </w:pPr>
    </w:p>
    <w:p w:rsidR="00CD5508" w:rsidRDefault="009E5B5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CB18FC" w:rsidRPr="00CB18FC">
        <w:rPr>
          <w:rFonts w:ascii="Arial" w:hAnsi="Arial" w:cs="Arial"/>
          <w:sz w:val="20"/>
          <w:szCs w:val="20"/>
        </w:rPr>
        <w:t xml:space="preserve">Salary expenses in 2020 </w:t>
      </w:r>
    </w:p>
    <w:p w:rsidR="00AE21B7" w:rsidRDefault="00AE21B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Meeting of Shareholders approved:</w:t>
      </w:r>
    </w:p>
    <w:p w:rsidR="00AE21B7" w:rsidRDefault="00AE21B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The lowest salary applied to 2020</w:t>
      </w:r>
    </w:p>
    <w:p w:rsidR="00AE21B7" w:rsidRDefault="00AE21B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lowest salary applied to</w:t>
      </w:r>
      <w:r>
        <w:rPr>
          <w:rFonts w:ascii="Arial" w:hAnsi="Arial" w:cs="Arial"/>
          <w:sz w:val="20"/>
          <w:szCs w:val="20"/>
        </w:rPr>
        <w:t xml:space="preserve"> employees in 2020: VND 3,920,000/ month, equivalent to VND 163,333/ day</w:t>
      </w:r>
    </w:p>
    <w:p w:rsidR="00AE21B7" w:rsidRDefault="00AE21B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Wage expense in 2020</w:t>
      </w:r>
    </w:p>
    <w:p w:rsidR="00AE21B7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Wages for producti</w:t>
      </w:r>
      <w:r w:rsidR="00AE21B7">
        <w:rPr>
          <w:rFonts w:ascii="Arial" w:hAnsi="Arial" w:cs="Arial"/>
          <w:sz w:val="20"/>
          <w:szCs w:val="20"/>
        </w:rPr>
        <w:t>on and business &lt;30% of revenue</w:t>
      </w:r>
    </w:p>
    <w:p w:rsidR="00AE21B7" w:rsidRDefault="00AE21B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</w:t>
      </w:r>
      <w:r w:rsidR="00CB18FC" w:rsidRPr="00CB18FC">
        <w:rPr>
          <w:rFonts w:ascii="Arial" w:hAnsi="Arial" w:cs="Arial"/>
          <w:sz w:val="20"/>
          <w:szCs w:val="20"/>
        </w:rPr>
        <w:t>Remune</w:t>
      </w:r>
      <w:r>
        <w:rPr>
          <w:rFonts w:ascii="Arial" w:hAnsi="Arial" w:cs="Arial"/>
          <w:sz w:val="20"/>
          <w:szCs w:val="20"/>
        </w:rPr>
        <w:t>ration of the Company Director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Salary for CEO in 2020: VND 240 million</w:t>
      </w:r>
      <w:r w:rsidR="00AE21B7">
        <w:rPr>
          <w:rFonts w:ascii="Arial" w:hAnsi="Arial" w:cs="Arial"/>
          <w:sz w:val="20"/>
          <w:szCs w:val="20"/>
        </w:rPr>
        <w:t xml:space="preserve">/ year; in case of </w:t>
      </w:r>
      <w:r w:rsidR="000D550F" w:rsidRPr="00CB18FC">
        <w:rPr>
          <w:rFonts w:ascii="Arial" w:hAnsi="Arial" w:cs="Arial"/>
          <w:sz w:val="20"/>
          <w:szCs w:val="20"/>
        </w:rPr>
        <w:t>profitable</w:t>
      </w:r>
      <w:r w:rsidR="000D550F">
        <w:rPr>
          <w:rFonts w:ascii="Arial" w:hAnsi="Arial" w:cs="Arial"/>
          <w:sz w:val="20"/>
          <w:szCs w:val="20"/>
        </w:rPr>
        <w:t xml:space="preserve"> </w:t>
      </w:r>
      <w:r w:rsidR="00AE21B7">
        <w:rPr>
          <w:rFonts w:ascii="Arial" w:hAnsi="Arial" w:cs="Arial"/>
          <w:sz w:val="20"/>
          <w:szCs w:val="20"/>
        </w:rPr>
        <w:t>p</w:t>
      </w:r>
      <w:r w:rsidRPr="00CB18FC">
        <w:rPr>
          <w:rFonts w:ascii="Arial" w:hAnsi="Arial" w:cs="Arial"/>
          <w:sz w:val="20"/>
          <w:szCs w:val="20"/>
        </w:rPr>
        <w:t>roduction and business activities</w:t>
      </w:r>
      <w:r w:rsidR="000D550F">
        <w:rPr>
          <w:rFonts w:ascii="Arial" w:hAnsi="Arial" w:cs="Arial"/>
          <w:sz w:val="20"/>
          <w:szCs w:val="20"/>
        </w:rPr>
        <w:t>,</w:t>
      </w:r>
      <w:r w:rsidRPr="00CB18FC">
        <w:rPr>
          <w:rFonts w:ascii="Arial" w:hAnsi="Arial" w:cs="Arial"/>
          <w:sz w:val="20"/>
          <w:szCs w:val="20"/>
        </w:rPr>
        <w:t xml:space="preserve"> the salary is </w:t>
      </w:r>
      <w:r w:rsidR="000D550F">
        <w:rPr>
          <w:rFonts w:ascii="Arial" w:hAnsi="Arial" w:cs="Arial"/>
          <w:sz w:val="20"/>
          <w:szCs w:val="20"/>
        </w:rPr>
        <w:t>VND 300 million/ year;</w:t>
      </w:r>
      <w:r w:rsidRPr="00CB18FC">
        <w:rPr>
          <w:rFonts w:ascii="Arial" w:hAnsi="Arial" w:cs="Arial"/>
          <w:sz w:val="20"/>
          <w:szCs w:val="20"/>
        </w:rPr>
        <w:t xml:space="preserve"> Allow </w:t>
      </w:r>
      <w:r w:rsidR="000D550F">
        <w:rPr>
          <w:rFonts w:ascii="Arial" w:hAnsi="Arial" w:cs="Arial"/>
          <w:sz w:val="20"/>
          <w:szCs w:val="20"/>
        </w:rPr>
        <w:t xml:space="preserve">a maximum </w:t>
      </w:r>
      <w:r w:rsidRPr="00CB18FC">
        <w:rPr>
          <w:rFonts w:ascii="Arial" w:hAnsi="Arial" w:cs="Arial"/>
          <w:sz w:val="20"/>
          <w:szCs w:val="20"/>
        </w:rPr>
        <w:t xml:space="preserve">advance of </w:t>
      </w:r>
      <w:r w:rsidR="000D550F">
        <w:rPr>
          <w:rFonts w:ascii="Arial" w:hAnsi="Arial" w:cs="Arial"/>
          <w:sz w:val="20"/>
          <w:szCs w:val="20"/>
        </w:rPr>
        <w:t>80% of the package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</w:t>
      </w:r>
      <w:r w:rsidR="00CB18FC" w:rsidRPr="00CB18FC">
        <w:rPr>
          <w:rFonts w:ascii="Arial" w:hAnsi="Arial" w:cs="Arial"/>
          <w:sz w:val="20"/>
          <w:szCs w:val="20"/>
        </w:rPr>
        <w:t xml:space="preserve"> Remuneration costs for members of the Board o</w:t>
      </w:r>
      <w:r>
        <w:rPr>
          <w:rFonts w:ascii="Arial" w:hAnsi="Arial" w:cs="Arial"/>
          <w:sz w:val="20"/>
          <w:szCs w:val="20"/>
        </w:rPr>
        <w:t>f Directors, Supervisory Board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7.4.1</w:t>
      </w:r>
      <w:r w:rsidR="00CB18FC" w:rsidRPr="00CB18FC">
        <w:rPr>
          <w:rFonts w:ascii="Arial" w:hAnsi="Arial" w:cs="Arial"/>
          <w:sz w:val="20"/>
          <w:szCs w:val="20"/>
        </w:rPr>
        <w:t xml:space="preserve"> Remuneration for the Chairman of the </w:t>
      </w:r>
      <w:r>
        <w:rPr>
          <w:rFonts w:ascii="Arial" w:hAnsi="Arial" w:cs="Arial"/>
          <w:sz w:val="20"/>
          <w:szCs w:val="20"/>
        </w:rPr>
        <w:t xml:space="preserve">Board of Directors </w:t>
      </w:r>
      <w:r w:rsidR="00CB18FC" w:rsidRPr="00CB18FC">
        <w:rPr>
          <w:rFonts w:ascii="Arial" w:hAnsi="Arial" w:cs="Arial"/>
          <w:sz w:val="20"/>
          <w:szCs w:val="20"/>
        </w:rPr>
        <w:t>who is not involved in the management and</w:t>
      </w:r>
      <w:r>
        <w:rPr>
          <w:rFonts w:ascii="Arial" w:hAnsi="Arial" w:cs="Arial"/>
          <w:sz w:val="20"/>
          <w:szCs w:val="20"/>
        </w:rPr>
        <w:t xml:space="preserve"> administration of the Company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Comply with the Company's salary policy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CB18FC" w:rsidRPr="00CB18F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2 </w:t>
      </w:r>
      <w:r w:rsidR="00CB18FC" w:rsidRPr="00CB18FC">
        <w:rPr>
          <w:rFonts w:ascii="Arial" w:hAnsi="Arial" w:cs="Arial"/>
          <w:sz w:val="20"/>
          <w:szCs w:val="20"/>
        </w:rPr>
        <w:t>Remuneration for members of the Board of Directors and Supervisory Boa</w:t>
      </w:r>
      <w:r>
        <w:rPr>
          <w:rFonts w:ascii="Arial" w:hAnsi="Arial" w:cs="Arial"/>
          <w:sz w:val="20"/>
          <w:szCs w:val="20"/>
        </w:rPr>
        <w:t>rd: VND 180 million</w:t>
      </w:r>
      <w:r w:rsidR="00CB18FC" w:rsidRPr="00CB18FC">
        <w:rPr>
          <w:rFonts w:ascii="Arial" w:hAnsi="Arial" w:cs="Arial"/>
          <w:sz w:val="20"/>
          <w:szCs w:val="20"/>
        </w:rPr>
        <w:t>/ year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 </w:t>
      </w:r>
      <w:r w:rsidR="00CB18FC" w:rsidRPr="00CB18FC">
        <w:rPr>
          <w:rFonts w:ascii="Arial" w:hAnsi="Arial" w:cs="Arial"/>
          <w:sz w:val="20"/>
          <w:szCs w:val="20"/>
        </w:rPr>
        <w:t xml:space="preserve">Total salary in 2020 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The total salary</w:t>
      </w:r>
      <w:r w:rsidR="000D550F">
        <w:rPr>
          <w:rFonts w:ascii="Arial" w:hAnsi="Arial" w:cs="Arial"/>
          <w:sz w:val="20"/>
          <w:szCs w:val="20"/>
        </w:rPr>
        <w:t xml:space="preserve"> does not exceed 32% of revenue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CB18FC" w:rsidRPr="00CB18FC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</w:t>
      </w:r>
      <w:r w:rsidR="00CB18FC" w:rsidRPr="00CB18FC">
        <w:rPr>
          <w:rFonts w:ascii="Arial" w:hAnsi="Arial" w:cs="Arial"/>
          <w:sz w:val="20"/>
          <w:szCs w:val="20"/>
        </w:rPr>
        <w:t xml:space="preserve"> 2020 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The General Meeting of Shareholders approve</w:t>
      </w:r>
      <w:r w:rsidR="000D550F">
        <w:rPr>
          <w:rFonts w:ascii="Arial" w:hAnsi="Arial" w:cs="Arial"/>
          <w:sz w:val="20"/>
          <w:szCs w:val="20"/>
        </w:rPr>
        <w:t>d:</w:t>
      </w:r>
      <w:r w:rsidRPr="00CB18FC">
        <w:rPr>
          <w:rFonts w:ascii="Arial" w:hAnsi="Arial" w:cs="Arial"/>
          <w:sz w:val="20"/>
          <w:szCs w:val="20"/>
        </w:rPr>
        <w:t xml:space="preserve"> </w:t>
      </w:r>
      <w:r w:rsidR="000D550F">
        <w:rPr>
          <w:rFonts w:ascii="Arial" w:hAnsi="Arial" w:cs="Arial"/>
          <w:sz w:val="20"/>
          <w:szCs w:val="20"/>
        </w:rPr>
        <w:t>Authorize</w:t>
      </w:r>
      <w:r w:rsidRPr="00CB18FC">
        <w:rPr>
          <w:rFonts w:ascii="Arial" w:hAnsi="Arial" w:cs="Arial"/>
          <w:sz w:val="20"/>
          <w:szCs w:val="20"/>
        </w:rPr>
        <w:t xml:space="preserve"> the Director of the Company to select one of the auditing units approved by the State Securities Commission to </w:t>
      </w:r>
      <w:r w:rsidR="000D550F">
        <w:rPr>
          <w:rFonts w:ascii="Arial" w:hAnsi="Arial" w:cs="Arial"/>
          <w:sz w:val="20"/>
          <w:szCs w:val="20"/>
        </w:rPr>
        <w:t>review the financial statements, audit</w:t>
      </w:r>
      <w:r w:rsidRPr="00CB18FC">
        <w:rPr>
          <w:rFonts w:ascii="Arial" w:hAnsi="Arial" w:cs="Arial"/>
          <w:sz w:val="20"/>
          <w:szCs w:val="20"/>
        </w:rPr>
        <w:t xml:space="preserve"> financial statements for companies listed on stock exc</w:t>
      </w:r>
      <w:r w:rsidR="000D550F">
        <w:rPr>
          <w:rFonts w:ascii="Arial" w:hAnsi="Arial" w:cs="Arial"/>
          <w:sz w:val="20"/>
          <w:szCs w:val="20"/>
        </w:rPr>
        <w:t>hanges to sign audit contracts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In May 2020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CB18FC" w:rsidRPr="00CB18FC">
        <w:rPr>
          <w:rFonts w:ascii="Arial" w:hAnsi="Arial" w:cs="Arial"/>
          <w:sz w:val="20"/>
          <w:szCs w:val="20"/>
        </w:rPr>
        <w:t xml:space="preserve">Approving plans for investment, lease and transfer in 2020 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 </w:t>
      </w:r>
      <w:r w:rsidR="00CB18FC" w:rsidRPr="00CB18FC">
        <w:rPr>
          <w:rFonts w:ascii="Arial" w:hAnsi="Arial" w:cs="Arial"/>
          <w:sz w:val="20"/>
          <w:szCs w:val="20"/>
        </w:rPr>
        <w:t xml:space="preserve">Converting products 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Focusing on maximizing the effec</w:t>
      </w:r>
      <w:r w:rsidR="000D550F">
        <w:rPr>
          <w:rFonts w:ascii="Arial" w:hAnsi="Arial" w:cs="Arial"/>
          <w:sz w:val="20"/>
          <w:szCs w:val="20"/>
        </w:rPr>
        <w:t>tiveness of existing investment;</w:t>
      </w:r>
      <w:r w:rsidRPr="00CB18FC">
        <w:rPr>
          <w:rFonts w:ascii="Arial" w:hAnsi="Arial" w:cs="Arial"/>
          <w:sz w:val="20"/>
          <w:szCs w:val="20"/>
        </w:rPr>
        <w:t xml:space="preserve"> drastically shifting the production of antique tile products and other specific brick products with competitive advanta</w:t>
      </w:r>
      <w:r w:rsidR="000D550F">
        <w:rPr>
          <w:rFonts w:ascii="Arial" w:hAnsi="Arial" w:cs="Arial"/>
          <w:sz w:val="20"/>
          <w:szCs w:val="20"/>
        </w:rPr>
        <w:t>ges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</w:t>
      </w:r>
      <w:r w:rsidR="00CB18FC" w:rsidRPr="00CB18FC">
        <w:rPr>
          <w:rFonts w:ascii="Arial" w:hAnsi="Arial" w:cs="Arial"/>
          <w:sz w:val="20"/>
          <w:szCs w:val="20"/>
        </w:rPr>
        <w:t xml:space="preserve"> Leasing premises, workshop: </w:t>
      </w:r>
    </w:p>
    <w:p w:rsidR="000D550F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>- Adding business lines of the Company and Factor</w:t>
      </w:r>
      <w:r w:rsidR="000D550F">
        <w:rPr>
          <w:rFonts w:ascii="Arial" w:hAnsi="Arial" w:cs="Arial"/>
          <w:sz w:val="20"/>
          <w:szCs w:val="20"/>
        </w:rPr>
        <w:t>ies: Leasing premises, workshop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  <w:r w:rsidR="00CB18FC" w:rsidRPr="00CB18FC">
        <w:rPr>
          <w:rFonts w:ascii="Arial" w:hAnsi="Arial" w:cs="Arial"/>
          <w:sz w:val="20"/>
          <w:szCs w:val="20"/>
        </w:rPr>
        <w:t xml:space="preserve"> Project preparation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 w:rsidR="00CB18FC" w:rsidRPr="00CB18FC">
        <w:rPr>
          <w:rFonts w:ascii="Arial" w:hAnsi="Arial" w:cs="Arial"/>
          <w:sz w:val="20"/>
          <w:szCs w:val="20"/>
        </w:rPr>
        <w:t xml:space="preserve"> Son Factory </w:t>
      </w:r>
    </w:p>
    <w:p w:rsidR="000D550F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complete documents;</w:t>
      </w:r>
      <w:r w:rsidR="00CB18FC" w:rsidRPr="00CB18FC">
        <w:rPr>
          <w:rFonts w:ascii="Arial" w:hAnsi="Arial" w:cs="Arial"/>
          <w:sz w:val="20"/>
          <w:szCs w:val="20"/>
        </w:rPr>
        <w:t xml:space="preserve"> legal support of </w:t>
      </w:r>
      <w:proofErr w:type="spellStart"/>
      <w:r w:rsidR="00CB18FC" w:rsidRPr="00CB18FC">
        <w:rPr>
          <w:rFonts w:ascii="Arial" w:hAnsi="Arial" w:cs="Arial"/>
          <w:sz w:val="20"/>
          <w:szCs w:val="20"/>
        </w:rPr>
        <w:t>Bac</w:t>
      </w:r>
      <w:proofErr w:type="spellEnd"/>
      <w:r w:rsidR="00CB18FC" w:rsidRPr="00CB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FC" w:rsidRPr="00CB18FC">
        <w:rPr>
          <w:rFonts w:ascii="Arial" w:hAnsi="Arial" w:cs="Arial"/>
          <w:sz w:val="20"/>
          <w:szCs w:val="20"/>
        </w:rPr>
        <w:t>Ninh's</w:t>
      </w:r>
      <w:proofErr w:type="spellEnd"/>
      <w:r w:rsidR="00CB18FC" w:rsidRPr="00CB18FC">
        <w:rPr>
          <w:rFonts w:ascii="Arial" w:hAnsi="Arial" w:cs="Arial"/>
          <w:sz w:val="20"/>
          <w:szCs w:val="20"/>
        </w:rPr>
        <w:t xml:space="preserve"> departments and branches for the Board of Directors to consider and submit to the General Me</w:t>
      </w:r>
      <w:r>
        <w:rPr>
          <w:rFonts w:ascii="Arial" w:hAnsi="Arial" w:cs="Arial"/>
          <w:sz w:val="20"/>
          <w:szCs w:val="20"/>
        </w:rPr>
        <w:t>eting of Shareholders in 2021 for approval of</w:t>
      </w:r>
      <w:r w:rsidR="00CB18FC" w:rsidRPr="00CB18FC">
        <w:rPr>
          <w:rFonts w:ascii="Arial" w:hAnsi="Arial" w:cs="Arial"/>
          <w:sz w:val="20"/>
          <w:szCs w:val="20"/>
        </w:rPr>
        <w:t xml:space="preserve"> the chang</w:t>
      </w:r>
      <w:r>
        <w:rPr>
          <w:rFonts w:ascii="Arial" w:hAnsi="Arial" w:cs="Arial"/>
          <w:sz w:val="20"/>
          <w:szCs w:val="20"/>
        </w:rPr>
        <w:t xml:space="preserve">e of land use purpose in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Son</w:t>
      </w:r>
    </w:p>
    <w:p w:rsidR="00653477" w:rsidRDefault="000D550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CB18FC" w:rsidRPr="00CB18FC">
        <w:rPr>
          <w:rFonts w:ascii="Arial" w:hAnsi="Arial" w:cs="Arial"/>
          <w:sz w:val="20"/>
          <w:szCs w:val="20"/>
        </w:rPr>
        <w:t xml:space="preserve"> Acquisition of </w:t>
      </w:r>
      <w:r>
        <w:rPr>
          <w:rFonts w:ascii="Arial" w:hAnsi="Arial" w:cs="Arial"/>
          <w:sz w:val="20"/>
          <w:szCs w:val="20"/>
        </w:rPr>
        <w:t xml:space="preserve">the </w:t>
      </w:r>
      <w:r w:rsidR="00CB18FC" w:rsidRPr="00CB18FC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>-owned</w:t>
      </w:r>
      <w:r w:rsidR="00CB18FC" w:rsidRPr="00CB18FC">
        <w:rPr>
          <w:rFonts w:ascii="Arial" w:hAnsi="Arial" w:cs="Arial"/>
          <w:sz w:val="20"/>
          <w:szCs w:val="20"/>
        </w:rPr>
        <w:t xml:space="preserve"> shares when the State divests capital; transfer </w:t>
      </w:r>
      <w:r w:rsidR="00653477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53477">
        <w:rPr>
          <w:rFonts w:ascii="Arial" w:hAnsi="Arial" w:cs="Arial"/>
          <w:sz w:val="20"/>
          <w:szCs w:val="20"/>
        </w:rPr>
        <w:t>Hai</w:t>
      </w:r>
      <w:proofErr w:type="spellEnd"/>
      <w:r w:rsidR="00653477">
        <w:rPr>
          <w:rFonts w:ascii="Arial" w:hAnsi="Arial" w:cs="Arial"/>
          <w:sz w:val="20"/>
          <w:szCs w:val="20"/>
        </w:rPr>
        <w:t xml:space="preserve"> Duong</w:t>
      </w:r>
      <w:r w:rsidR="00CB18FC" w:rsidRPr="00CB18FC">
        <w:rPr>
          <w:rFonts w:ascii="Arial" w:hAnsi="Arial" w:cs="Arial"/>
          <w:sz w:val="20"/>
          <w:szCs w:val="20"/>
        </w:rPr>
        <w:t xml:space="preserve"> Factory </w:t>
      </w:r>
    </w:p>
    <w:p w:rsidR="00653477" w:rsidRDefault="0065347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 Authorize</w:t>
      </w:r>
      <w:r w:rsidR="00CB18FC" w:rsidRPr="00CB18F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</w:t>
      </w:r>
      <w:r w:rsidR="00CB18FC" w:rsidRPr="00CB18FC">
        <w:rPr>
          <w:rFonts w:ascii="Arial" w:hAnsi="Arial" w:cs="Arial"/>
          <w:sz w:val="20"/>
          <w:szCs w:val="20"/>
        </w:rPr>
        <w:t xml:space="preserve"> to deploy, carry out the stock </w:t>
      </w:r>
      <w:r>
        <w:rPr>
          <w:rFonts w:ascii="Arial" w:hAnsi="Arial" w:cs="Arial"/>
          <w:sz w:val="20"/>
          <w:szCs w:val="20"/>
        </w:rPr>
        <w:t>transfer when the State divests capital</w:t>
      </w:r>
    </w:p>
    <w:p w:rsidR="00653477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lastRenderedPageBreak/>
        <w:t xml:space="preserve">  </w:t>
      </w:r>
      <w:r w:rsidR="00653477">
        <w:rPr>
          <w:rFonts w:ascii="Arial" w:hAnsi="Arial" w:cs="Arial"/>
          <w:sz w:val="20"/>
          <w:szCs w:val="20"/>
        </w:rPr>
        <w:t>10.2</w:t>
      </w:r>
      <w:r w:rsidRPr="00CB18FC">
        <w:rPr>
          <w:rFonts w:ascii="Arial" w:hAnsi="Arial" w:cs="Arial"/>
          <w:sz w:val="20"/>
          <w:szCs w:val="20"/>
        </w:rPr>
        <w:t xml:space="preserve"> When the State representative has</w:t>
      </w:r>
      <w:r w:rsidR="00653477">
        <w:rPr>
          <w:rFonts w:ascii="Arial" w:hAnsi="Arial" w:cs="Arial"/>
          <w:sz w:val="20"/>
          <w:szCs w:val="20"/>
        </w:rPr>
        <w:t xml:space="preserve"> a written approval, authorize</w:t>
      </w:r>
      <w:r w:rsidRPr="00CB18FC">
        <w:rPr>
          <w:rFonts w:ascii="Arial" w:hAnsi="Arial" w:cs="Arial"/>
          <w:sz w:val="20"/>
          <w:szCs w:val="20"/>
        </w:rPr>
        <w:t xml:space="preserve"> the Board of Directors to approve the transfer price such as: Valuation, bidding documents, biddings, bidding results, and other </w:t>
      </w:r>
      <w:r w:rsidR="00653477">
        <w:rPr>
          <w:rFonts w:ascii="Arial" w:hAnsi="Arial" w:cs="Arial"/>
          <w:sz w:val="20"/>
          <w:szCs w:val="20"/>
        </w:rPr>
        <w:t>provisions as required by law</w:t>
      </w:r>
    </w:p>
    <w:p w:rsidR="00653477" w:rsidRDefault="00CB18FC" w:rsidP="00F903A5">
      <w:pPr>
        <w:jc w:val="both"/>
        <w:rPr>
          <w:rFonts w:ascii="Arial" w:hAnsi="Arial" w:cs="Arial"/>
          <w:sz w:val="20"/>
          <w:szCs w:val="20"/>
        </w:rPr>
      </w:pPr>
      <w:r w:rsidRPr="00CB18FC">
        <w:rPr>
          <w:rFonts w:ascii="Arial" w:hAnsi="Arial" w:cs="Arial"/>
          <w:sz w:val="20"/>
          <w:szCs w:val="20"/>
        </w:rPr>
        <w:t xml:space="preserve">Article 2: The </w:t>
      </w:r>
      <w:r w:rsidR="00653477">
        <w:rPr>
          <w:rFonts w:ascii="Arial" w:hAnsi="Arial" w:cs="Arial"/>
          <w:sz w:val="20"/>
          <w:szCs w:val="20"/>
        </w:rPr>
        <w:t>General Meeting of Shareholders assigned</w:t>
      </w:r>
      <w:r w:rsidRPr="00CB18FC">
        <w:rPr>
          <w:rFonts w:ascii="Arial" w:hAnsi="Arial" w:cs="Arial"/>
          <w:sz w:val="20"/>
          <w:szCs w:val="20"/>
        </w:rPr>
        <w:t xml:space="preserve"> the Executive Board of the Company to organize the implementation of the contents stated in Article 1 in accordance with the Company's Charter and the current laws</w:t>
      </w:r>
    </w:p>
    <w:p w:rsidR="00CB18FC" w:rsidRDefault="0065347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This General Mandate</w:t>
      </w:r>
      <w:r w:rsidR="00CB18FC" w:rsidRPr="00CB18FC">
        <w:rPr>
          <w:rFonts w:ascii="Arial" w:hAnsi="Arial" w:cs="Arial"/>
          <w:sz w:val="20"/>
          <w:szCs w:val="20"/>
        </w:rPr>
        <w:t xml:space="preserve"> takes effect from the time of the approval of the General Meeting.  Shareholders, Management Board of the Company are responsible for implementing </w:t>
      </w:r>
      <w:r>
        <w:rPr>
          <w:rFonts w:ascii="Arial" w:hAnsi="Arial" w:cs="Arial"/>
          <w:sz w:val="20"/>
          <w:szCs w:val="20"/>
        </w:rPr>
        <w:t>it</w:t>
      </w:r>
      <w:r w:rsidR="00CB18FC" w:rsidRPr="00CB18FC">
        <w:rPr>
          <w:rFonts w:ascii="Arial" w:hAnsi="Arial" w:cs="Arial"/>
          <w:sz w:val="20"/>
          <w:szCs w:val="20"/>
        </w:rPr>
        <w:t xml:space="preserve"> according </w:t>
      </w:r>
      <w:r>
        <w:rPr>
          <w:rFonts w:ascii="Arial" w:hAnsi="Arial" w:cs="Arial"/>
          <w:sz w:val="20"/>
          <w:szCs w:val="20"/>
        </w:rPr>
        <w:t>to their functions and duties</w:t>
      </w:r>
    </w:p>
    <w:sectPr w:rsidR="00CB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5D99"/>
    <w:multiLevelType w:val="hybridMultilevel"/>
    <w:tmpl w:val="EEE67940"/>
    <w:lvl w:ilvl="0" w:tplc="2850FA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23E1"/>
    <w:multiLevelType w:val="hybridMultilevel"/>
    <w:tmpl w:val="490A75E4"/>
    <w:lvl w:ilvl="0" w:tplc="2850FA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550F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53477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9E5B59"/>
    <w:rsid w:val="00A06443"/>
    <w:rsid w:val="00A06521"/>
    <w:rsid w:val="00A128FC"/>
    <w:rsid w:val="00A63B6C"/>
    <w:rsid w:val="00AA54AD"/>
    <w:rsid w:val="00AE21B7"/>
    <w:rsid w:val="00AF67BE"/>
    <w:rsid w:val="00B70D7E"/>
    <w:rsid w:val="00BA1F12"/>
    <w:rsid w:val="00BA3FB7"/>
    <w:rsid w:val="00BD3CCA"/>
    <w:rsid w:val="00C72C3A"/>
    <w:rsid w:val="00CB18FC"/>
    <w:rsid w:val="00CD5508"/>
    <w:rsid w:val="00D52C26"/>
    <w:rsid w:val="00D702CC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2020-03-20T07:17:00Z</dcterms:modified>
</cp:coreProperties>
</file>